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There are around 250 schools that are part of the NAIA. You should look over the eligibility requirements and make sure that when you take the SAT/ACT, you include the NAIA code.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color w:val="212529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1"/>
            <w:szCs w:val="21"/>
            <w:highlight w:val="white"/>
            <w:u w:val="single"/>
            <w:rtl w:val="0"/>
          </w:rPr>
          <w:t xml:space="preserve">PlayNAIA.org</w:t>
        </w:r>
      </w:hyperlink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 helps future student-athletes discover and connect with NAIA schools, coaches and athletic scholarships. PlayNAIA is also the official clearinghouse for NAIA eligibility. Every student-athlete must register with the NAIA Eligibility Center to play sports at an NAIA college or university. There is a fee to complete the registration. 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2125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212529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General Clearinghouse Rules (must have two out of three) (see website for specifics):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212529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SAT score of 970 or above/ACT score of 18 or above; score must be sent directly to NAIA by using the code 9876 when registering for SAT/ACT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212529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GPA of at least 2.0 or higher. Your transcripts will be sent to the NAIA following a students junior year and again (if needed) following senior year. Student must have an account with NAIA. Once a student is registered, students should enter the transcript request into Naviance and indicate NAIA for the transcript destination.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212529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212529"/>
          <w:sz w:val="21"/>
          <w:szCs w:val="21"/>
          <w:highlight w:val="white"/>
          <w:rtl w:val="0"/>
        </w:rPr>
        <w:t xml:space="preserve">Proof of top 1/2of graduation class; connect with your JHS Counselor for additional information on how to show proof of this step. </w:t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125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LINKS: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find if a school is NAIA, please use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THIS LINK</w:t>
        </w:r>
      </w:hyperlink>
      <w:r w:rsidDel="00000000" w:rsidR="00000000" w:rsidRPr="00000000">
        <w:rPr>
          <w:rtl w:val="0"/>
        </w:rPr>
        <w:t xml:space="preserve"> to search.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register for the NAIA clearinghouse, please use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THIS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You will need to register to get additional information.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laynaia.org" TargetMode="External"/><Relationship Id="rId7" Type="http://schemas.openxmlformats.org/officeDocument/2006/relationships/hyperlink" Target="https://www.naia.org/schools/index" TargetMode="External"/><Relationship Id="rId8" Type="http://schemas.openxmlformats.org/officeDocument/2006/relationships/hyperlink" Target="https://play.myna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